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Normal"/>
        <w:widowControl/>
        <w:ind w:firstLine="540"/>
        <w:jc w:val="both"/>
        <w:rPr>
          <w:rFonts w:ascii="Times New Roman" w:hAnsi="Times New Roman" w:cs="Times New Roman"/>
          <w:sz w:val="28"/>
          <w:szCs w:val="28"/>
        </w:rPr>
      </w:pPr>
      <w:r>
        <w:rPr>
          <w:rFonts w:cs="Times New Roman" w:ascii="Times New Roman" w:hAnsi="Times New Roman"/>
          <w:sz w:val="28"/>
          <w:szCs w:val="28"/>
        </w:rPr>
        <w:tab/>
        <w:tab/>
      </w:r>
    </w:p>
    <w:p>
      <w:pPr>
        <w:pStyle w:val="ConsNormal"/>
        <w:widowControl/>
        <w:ind w:firstLine="540"/>
        <w:jc w:val="center"/>
        <w:rPr>
          <w:rFonts w:ascii="Times New Roman" w:hAnsi="Times New Roman" w:cs="Times New Roman"/>
          <w:sz w:val="28"/>
          <w:szCs w:val="28"/>
        </w:rPr>
      </w:pPr>
      <w:r>
        <w:rPr>
          <w:rFonts w:cs="Times New Roman" w:ascii="Times New Roman" w:hAnsi="Times New Roman"/>
          <w:sz w:val="28"/>
          <w:szCs w:val="28"/>
        </w:rPr>
        <w:t>ДОГОВОР № ______</w:t>
      </w:r>
    </w:p>
    <w:p>
      <w:pPr>
        <w:pStyle w:val="ConsNormal"/>
        <w:widowControl/>
        <w:ind w:firstLine="540"/>
        <w:jc w:val="center"/>
        <w:rPr>
          <w:rFonts w:ascii="Times New Roman" w:hAnsi="Times New Roman" w:cs="Times New Roman"/>
          <w:sz w:val="28"/>
          <w:szCs w:val="28"/>
        </w:rPr>
      </w:pPr>
      <w:r>
        <w:rPr>
          <w:rFonts w:cs="Times New Roman" w:ascii="Times New Roman" w:hAnsi="Times New Roman"/>
          <w:sz w:val="28"/>
          <w:szCs w:val="28"/>
        </w:rPr>
        <w:t>на охрану объекта при помощи средств</w:t>
      </w:r>
    </w:p>
    <w:p>
      <w:pPr>
        <w:pStyle w:val="ConsNormal"/>
        <w:widowControl/>
        <w:ind w:firstLine="540"/>
        <w:jc w:val="center"/>
        <w:rPr>
          <w:rFonts w:ascii="Times New Roman" w:hAnsi="Times New Roman" w:cs="Times New Roman"/>
          <w:sz w:val="28"/>
          <w:szCs w:val="28"/>
        </w:rPr>
      </w:pPr>
      <w:r>
        <w:rPr>
          <w:rFonts w:cs="Times New Roman" w:ascii="Times New Roman" w:hAnsi="Times New Roman"/>
          <w:sz w:val="28"/>
          <w:szCs w:val="28"/>
        </w:rPr>
        <w:t>охранно-пожарной сигнализации</w:t>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r>
    </w:p>
    <w:p>
      <w:pPr>
        <w:pStyle w:val="ConsNormal"/>
        <w:widowControl/>
        <w:ind w:hanging="0"/>
        <w:jc w:val="both"/>
        <w:rPr>
          <w:rFonts w:ascii="Times New Roman" w:hAnsi="Times New Roman" w:cs="Times New Roman"/>
          <w:sz w:val="28"/>
          <w:szCs w:val="28"/>
        </w:rPr>
      </w:pPr>
      <w:r>
        <w:rPr>
          <w:rFonts w:cs="Times New Roman" w:ascii="Times New Roman" w:hAnsi="Times New Roman"/>
          <w:sz w:val="28"/>
          <w:szCs w:val="28"/>
        </w:rPr>
        <w:t>г.___________________                                                "____" ___________ 20 ___г.</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_______(указывается наименование контрагента), именуемый(ое) в дальнейшем Заказчик, в лице (указывается должность руководителя) фамилия, имя отчество , действующего на основании Положения (Устава) утвержденного приказом от_____ г. №___ , с одной стороны, и федеральное государственное казенное учреждение "Управление вневедомственной охраны войск национальной гвардии  Российской Федерации по Мурманской области", именуемое в дальнейшем Исполнитель, в лице начальника (указывается наименование филиала) - филиала федерального государственного казенного учреждения "Управление вневедомственной охраны войск национальной гвардии Российской Федерации по Мурманской области" (фамилия, имя, отчество) , действующего на основании Положения о филиале и доверенности от _____ 20___ года №__ с другой стороны, а вместе именуемые Стороны, заключили настоящий договор о нижеследующем:</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1.Предмет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1.1. "Исполнитель" принимает на себя обязательства по охране объекта при помощи средств охранно-пожарной сигнализации (ОПС) путем централизованного наблюдения за ее состоянием на пульте централизованного наблюдения (ПЦН) и обеспечению выезда группы задержания на объект при поступлении на пульт сигнала "тревога".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1.2. "Заказчик" обязуется своевременно производить оплату за предоставляемые услуги.</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 Общие положения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2.1. Наименование и адрес объектов, оборудованных ОПС и подключенных на ПЦН, указываются в Перечне объектов (Приложение №1), который является неотъемлемой частью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2.2. Режим работы ОПС, в течение которого осуществляется централизованное наблюдение за объектом, устанавливается в Приложении №1.</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2.3. Обследование принимаемых Исполнителем под охрану объектов, производится межведомственной комиссией в составе представителей Исполнителя, Заказчика и организацией, уполномоченной на проведение проектно-монтажных работ, обслуживающей организации</w:t>
      </w:r>
      <w:r>
        <w:rPr>
          <w:rStyle w:val="Style17"/>
          <w:rFonts w:cs="Times New Roman" w:ascii="Times New Roman" w:hAnsi="Times New Roman"/>
          <w:sz w:val="28"/>
          <w:szCs w:val="28"/>
        </w:rPr>
        <w:footnoteReference w:id="2"/>
      </w:r>
      <w:r>
        <w:rPr>
          <w:rFonts w:cs="Times New Roman" w:ascii="Times New Roman" w:hAnsi="Times New Roman"/>
          <w:sz w:val="28"/>
          <w:szCs w:val="28"/>
        </w:rPr>
        <w:t>. При необходимости в комиссию в установленном порядке могут быть привлечены специалисты других заинтересованных организаций и ведомств.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Результаты обследования оформляются актом, составляемым сторонами до заключения договора, который приобщается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Ответственность за исправность ОПС, установленной на объекте несет "Заказчик".</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Последующее обследование технического состояния объектов проводится при необходимости, но не р</w:t>
      </w:r>
      <w:r>
        <w:rPr>
          <w:rFonts w:eastAsia="" w:cs="Times New Roman" w:ascii="Times New Roman" w:hAnsi="Times New Roman" w:eastAsiaTheme="minorEastAsia"/>
          <w:sz w:val="28"/>
          <w:szCs w:val="28"/>
          <w:highlight w:val="white"/>
        </w:rPr>
        <w:t xml:space="preserve">еже </w:t>
      </w:r>
      <w:r>
        <w:rPr>
          <w:rFonts w:eastAsia="Calibri" w:cs="Times New Roman" w:ascii="Times New Roman" w:hAnsi="Times New Roman"/>
          <w:i w:val="false"/>
          <w:iCs w:val="false"/>
          <w:color w:val="000000"/>
          <w:sz w:val="28"/>
          <w:szCs w:val="28"/>
          <w:highlight w:val="white"/>
          <w:lang w:eastAsia="en-US"/>
        </w:rPr>
        <w:t>одного раза в год</w:t>
      </w:r>
      <w:r>
        <w:rPr>
          <w:rFonts w:eastAsia="" w:cs="Times New Roman" w:ascii="Times New Roman" w:hAnsi="Times New Roman" w:eastAsiaTheme="minorEastAsia"/>
          <w:sz w:val="28"/>
          <w:szCs w:val="28"/>
          <w:highlight w:val="white"/>
        </w:rPr>
        <w:t>, п</w:t>
      </w:r>
      <w:r>
        <w:rPr>
          <w:rFonts w:cs="Times New Roman" w:ascii="Times New Roman" w:hAnsi="Times New Roman"/>
          <w:sz w:val="28"/>
          <w:szCs w:val="28"/>
        </w:rPr>
        <w:t>редставителями Исполнителя и Заказчика с участием других заинтересованных служб (при необходимости) с составлением соответствующего акта, с указанием в нем работоспособности ТСО, выявленных недостатков по технической укрепленности объектов, а также необходимых мероприятий по их устранению и сроков выполнения этих мероприятий.</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2.4. Порядок взятия ОПС под централизованное наблюдение и ее снятие производится в соответствии с инструкцией по правилам пользования ОПС, выдаваемой "Заказчику" либо его представителю под роспись при проведении первичного инструктажа по правилам пользования ОПС.</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2.5.  Требования нормативных актов РФ и действующих руководящих документов по охранной деятельности, направленные на усиление охраны и технической укреплённости объектов являются обязательными для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2.6. "Заказчик" вправе приостановить действие договора с сохранением подключения к системам передачи извещений в отношении объекта, за которым осуществляется централизованное наблюдение с помощью ТСО с письменным уведомлением об этом "Исполнителя" не менее чем за 10 дней. </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 Обязанности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 "Исполнитель" обязан: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3.1.1. Осуществлять контроль за средствами ОПС, установленными на объектах Заказчика, указанных в Приложении № 1 к Контракту и поставленных Заказчиком под охрану на ПЦН Исполнителя в установленном порядке.</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3.1.2. При поступлении информации о срабатывании ОПС на объекте, обеспечить оперативное реагирование путем направления группы задержания (ГЗ) с соблюдением правил дорожного движения к охраняемому объекту.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3.1.3. В случае обнаружения на охраняемом объекте пожара - немедленно сообщить об этом в пожарную часть и, по возможности, представителю "Заказчика".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3.1.4. При обнаружении признаков нарушения целостности объекта, сообщить об этом в дежурную часть органа внутренних дел и "Заказчику". Обеспечить, не проникая на объект, неприкосновенность места происшествия до прибытия представителя "Заказчика" и следственно-оперативной группы. При наличии явных признаков проникновения на объект (открыта дверь (окно), шум, движение внутри объекта) принять меры к задержанию лиц, находящихся на объекте, блокированию возможных путей их отхода.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 "Заказчик" обязан: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 Иметь действующий договор на техническое (эксплуатационное) обслуживание ОПС с обслуживающей организацией. Предоставить "Исполнителю" в письменном виде данные об обслуживающей организации: наименование, местонахождение, контактные телефоны.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Объемы, содержание и порядок выполнения работ по техническому обслуживанию ОПС определяются технической документацией на ОПС, а также ведомственными нормативными правовыми актами и организационно-методическими документами.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3.2.2. Осуществлять в сроки, указанные в соответствующих актах, мероприятия по технической укрепленности объектов и их оборудованию ТСО, создавать надлежащие условия для обеспечения сохранности материальных ценностей в соответствии с действующими нормативными актами и руководящими документами по охранной деятельности.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3.2.3. Содействовать "Исполнителю" при выполнении им своих обязанностей по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3.2.4. Предоставить "Исполнителю" данные о служебных, домашних, мобильных телефонах, а также адреса доверенных лиц (работников "Заказчика"), уполномоченных осуществлять прием (сдачу) объекта, вскрывать объект и участвовать в его осмотре, подписывать все совместные акты. Не менее чем за 3 дня письменно уведомить "Исполнителя" об изменениях в указанных данных.</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3.2.5. Перед сдачей объекта под контроль "Исполнителя" проверять, чтобы в помещении не остались посторонние лица, животные, включенные электроприборы и другие источники повышенной опасности. Закрывать на замки и запоры наружные и внутренние двери, окна, форточки, люки и другие возможные места проникновения на объект. Осуществлять внешний осмотр ТСО на предмет наличия внешних повреждений, в случае обнаружения неисправностей уведомлять об этом "Исполнителя" и обслуживающую организацию немедленно.</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3.2.6. Не допускать к ТСО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3.2.7.  Не допускать к пользованию средствами ОПС лиц, не заявленных в соответствии с п. 3.2.4.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3.2.8. Сдавать объект под контроль "Исполнителя" и снимать его с контроля в строго определенное время, указанное в Приложении № 1. В случае необходимости снятия объекта с охраны в неустановленное время (в отличие от указанного в Приложении № 1), проинформировать Исполнителя по телефону (или иным способом) о своем намерении произвести снятие объекта с охраны.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3.2.9. При срабатывании ОПС обеспечить в возможно короткий срок (но не позднее, чем через 30 (тридцать) минут после получения вызова "Исполнителя") прибытие на объект уполномоченного лица для вскрытия и осмотра объекта. Оплачивать охрану объекта группой задержания свыше 30-ти минут с момента прибытия "Исполнителя" на объект по сигналу "тревога" за дополнительную плату в соответствии с действующим тарифом за каждый пост охраны объекта.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3.2.10. При обнаружении нарушения целостности объекта, кражи, уничтожения или повреждения имущества в результате проникновения на объект посторонних лиц незамедлительно сообщить об этом на ПЦН "Исполнителя" и до прибытия его представителей обеспечивать неприкосновенность места происшествия.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3.2.11.  В случае заявления о причинении ущерба в обязательном порядке в день обнаружения ущерба в присутствии уполномоченных представителей "Исполнителя" в строгом соответствии с данными бухгалтерского учета на день происшествия произвести снятие остатков материальных ценностей с составлением двустороннего акта инвентаризации. Не допускать снятие остатков материальных ценностей без представителя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3.2.12.  Письменно информировать "Исполнителя" (не позднее, чем за 10 дней до начала) о проведении ремонта, перепланировки, переоборудования объекта, об изменении на нем режима или профиля работ, изменении мест хранения ценностей, а также о проведении иных мероприятий, которые могут повлиять на порядок охраны объекта, техническое состояние ОПС и потребовать внесение изменений в систему охраны объекта.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3.2.13. Принимать меры по обеспечению бесперебойной работы телефонной связи и сети электропитания, к которым подключены средства ОПС.</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3.2.14. Осуществлять хранение денежных средств (в пределах, установленных Центральным Банком РФ) изделий из драгоценных металлов или с драгоценными камнями в опечатанных несгораемых насыпных сейфах, прочно прикрепленных к полу или стене. В зависимости от специфики объекта условия хранения иных материальных ценностей определяются в акте обследования объекта.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3.2.15.  Проводить капитальный ремонт или полную замену средств ОПС при невозможности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также с учетом срока эксплуатации ОПС, заявленного предприятием-изготовителем, на основании заключения (акта) комиссии, состоящей из представителей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3.2.16. Не разглашать посторонним лицам принципы работы установленных на объекте систем сигнализации, а также присвоенные пультовые номера (пароли).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3.2.17. Об утрате права собственности, иного вещного права на объект охраны, сдачи объекта или его части в аренду, субаренду, безвозмездное пользование не менее чем за 5 дней письменно информировать Исполнителя. При наличии имущественного спора в отношении объекта охраны - немедленно в письменном виде информировать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3.2.18. В случае утраты электронного ключа, служащего для постановки/снятия объекта под/с охраны, немедленно информировать "Исполнителя" по телефону с последующим письменным уведомлением в течение одного дня (данный пункт действует в случае установки на объекте автоматизированной системы охраны).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3.2.20. Компенсировать "Исполнителю" в десятидневный срок, с момента направления счета, расходы, связанные с выездом группы задержания по ложным сигналам "тревога", допущенным по вине "Заказчика". Размер компенсации устанавливается "Исполнителем" на основании действующих тарифов. Ложная тревога - любое тревожное извещение, вызванное событиями, не связанными с попытками проникновения на охраняемый объект.</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3.2.21. Соблюдать правила пользования ОПС.</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3.2.22. Компенсировать "Исполнителю" соответствующие затраты за сохранение подключения к системам передачи извещений, в случаях приостановления действия договора. </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 Ответственность сторон</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4.1. В случае неисполнения или ненадлежащего исполнения своих обязательств "Исполнитель" несет ограниченную ответственность перед "Заказчиком" в размере месячной стоимости предоставленной услуги по контролю за объектом, на который совершено нападение, при наличии вины, установленной судом.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4.2. Размер ущерба подтверждается надлежащими документами и расчетами стоимости похищенных или поврежденных товарно-материальных ценностей или денежных средств. Для этих целей производятся действия, предусмотренные п. 3.2.12.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4.3. Возмещение материального ущерба производится на основании вступившего в законную силу решения суда и исполнительного листа.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4.4. Стоимость похищенных, изъятых следственными органами у лиц, совершивших хищение, и возвращенных "Заказчику" в установленном законом порядке материальных ценностей исключается из общей суммы требований, которые могут быть заявлены "Исполнителю", а ранее возмещенная сумма за эти ценности выплачивается "Заказчиком" "Исполнителю" в течение 15 дней после получения ценностей "Заказчиком".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4.5. В случае, если объект находился под охраной большее количество времени, чем указано в Приложении № 1, "Заказчик" выплачивает "Исполнителю" компенсацию за каждый полный час охраны в соответствии с действующим тарифом в течение 15 дней с даты направления счета, счета-фактуры.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4.6. В случае просрочки оплаты за оказанные услуги "Заказчик" обязан уплатить неустойку в размере 0,2% за каждый день просрочки исполнения обязательства до полного погашения задолженности". </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 "Исполнитель" не несет ответственности в случаях, когда докажет отсутствие своей вины, а также в следующих случаях:</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4.7.1. Если преступник проник на охраняемый объект до момента сдачи его под охрану.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4.7.2. Если ущерб, причинен в результате грабежа, разбойного нападения, пожара.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4.7.3. При отсутствии технического (эксплуатационного) обслуживания ОПС обслуживающей организацией если это послужило причиной возникновения ущерба.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4.7.4. Если причиной возникновения ущерба послужило перекрытие "Заказчиком" зоны действия приборов объемного или периметрального обнаружения.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4.7.5. Если ущерб причинен лицу, не состоящему в договорных отношениях с "Исполнителем".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4.7.6. Если ущерб причинен оставленному в охраняемом помещении личному имуществу работников.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4.7.7. Если ущерб причинен конструкциям и деталям, расположенным по внешнему периметру объекта (замки, двери, окна, оконные, дверные и витринные стекла и иные конструкции).</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4.7.8. Если ущерб причинен в период времени, не указанный в Приложении № 1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4.7.9. Если представитель "Заказчика" отказался выехать на охраняемый объект в случае срабатывания средств сигнализации, при условии, что это способствовало причинению ущерба.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4.7.10. При невыполнении "Заказчиком" пунктов 3.2.1., 3.2.2., 3.2.4., 3.2.5., 3.2.6., 3.2.7, 3.2.8., 3.2.11., 3.2.12., 3.2.13., 3.2.14., 3.2.15., 3.2.16., 3.2.17., 3.2.19.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4.7.11. Если лица, проникшие на объект задержаны.</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4.7.12. В случае неисправности ОПС, установленной на объекте "Заказчика".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4.7.13. </w:t>
      </w:r>
      <w:r>
        <w:rPr>
          <w:rFonts w:cs="Times New Roman" w:ascii="Times New Roman" w:hAnsi="Times New Roman"/>
          <w:color w:val="161519"/>
          <w:sz w:val="28"/>
          <w:szCs w:val="28"/>
        </w:rPr>
        <w:t xml:space="preserve"> Если ущерб имуществу Заказчика причинен путем проникновения третьих лиц на охраняемый объект через места, от инженерно-технической защиты и оборудования ТСО которых Заказчик отказался (указанных в приложении № </w:t>
      </w:r>
      <w:r>
        <w:rPr>
          <w:rFonts w:eastAsia="" w:cs="Times New Roman" w:ascii="Times New Roman" w:hAnsi="Times New Roman"/>
          <w:color w:val="161519"/>
          <w:kern w:val="0"/>
          <w:sz w:val="28"/>
          <w:szCs w:val="28"/>
          <w:lang w:val="ru-RU" w:eastAsia="ru-RU" w:bidi="ar-SA"/>
        </w:rPr>
        <w:t>3</w:t>
      </w:r>
      <w:r>
        <w:rPr>
          <w:rFonts w:cs="Times New Roman" w:ascii="Times New Roman" w:hAnsi="Times New Roman"/>
          <w:color w:val="161519"/>
          <w:sz w:val="28"/>
          <w:szCs w:val="28"/>
        </w:rPr>
        <w:t>), даже если выход из охраняемого объекта был осуществлен через заблокированные места</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 Цена договора и порядок расчетов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5.1. Цена договора определяется в зависимости от количества часов охраны, на основании утвержденного тарифа и указывается в Приложении № 2 к настоящему договору.</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5.2. Оплата услуг "Исполнителя" производится "Заказчиком" ежемесячно в безналичном порядке путем перечисления сумм, указанных в Приложении № 2, до 20 числа текущего месяца на основании выставленного счета, счета-фактуры. Обязанность "Заказчика" производить оплату услуг в установленный срок не ставится в зависимость от получения "Заказчиком" счета, счета-фактуры. "Исполнитель" не обязан доказывать факт направления "Заказчику" счета, счета-фактуры. Фактом оплаты признается поступление денежных средств на расчетный счет "Исполнителя".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5.3. Цена договора, указанная в Приложении № 2, пересматривается "Исполнителем" в одностороннем порядке в соответствии с требованиями Федерального закона от 3 июля 2016 г. № 226-ФЗ "О войсках национальной гвардии Российской Федерации" и определяется в порядке, устанавливаемом Правительством Российской Федерации. Уведомление "Заказчика" об изменении цены договора производится путем направления нового Приложения № 2 (не позднее, чем за 10 дней до изменения цены договора), которое автоматически становится новым Приложением № 2 к настоящему договору и отменяет предыдущее.</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5.4. При непоступлении оплаты в течение месяца с даты, установленной п. 5.2. "Исполнитель" имеет право в одностороннем порядке временно приостановить выполнение своих обязательств по настоящему договору уведомив об этом "Заказчика" по телефону, при помощи факсимильной связи или письменно. Возобновление договорных отношений возможно только после полного погашения задолженности.</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 Дополнительные условия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6.1. В случае реорганизации, изменения юридического адреса, почтовых или банковских реквизитов или наименования, стороны своевременно информируют друг друга в письменном виде, но не позднее 10 дней с момента изменения.</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6.2. Утрата "Заказчиком" права собственности на объект охраны, прекращение иного вещного права на объект охраны "Заказчиком" влечет прекращение обязательств по договору со стороны "Исполнителя". Наличие имущественного спора в отношении объекта охраны является основанием для временного приостановления исполнения обязательств по договору "Исполнителем".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6.3. "Исполнитель" вправе временно приостановить предоставление услуг по настоящему договору в случае нарушения "Заказчиком" п. 3.2.2. и 3.2.16. настоящего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6.4. "Исполнитель" вправе отказаться от принятия под охрану новых объектов при отсутствии технической возможности или достаточной штатной численности сотрудников.</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6.5. Охрана объекта свыше 30-ти минут с момента вызова "Заказчика" осуществляется только при наличии такой возможности за дополнительную плату в соответствии с действующим тарифом.</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 Форс-мажорные обстоятельства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7.1.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 но не более чем на 2 месяца, по истечении которых договор прекращает свое действие.</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 Срок действия договора</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8.1. Настоящий договор заключается сроком на один год и вступает в силу с "___" ___________20_____ г.</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8.2. Если за 1 месяц до окончания срока действия договора ни одна из сторон письменно не заявит о его прекращении, то он считается пролонгированным на тех же условиях и на тот же срок неограниченное количество раз.</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8.3. Стороны имеют право в одностороннем порядке отказаться от исполнения  договора, уведомив об этом другую сторону не менее, чем за 10 дней.</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8.4. В случае нарушения Заказчиком условий Договора в части оплаты услуг, спор подлежит передаче на рассмотрение в Арбитражный суд Мурманской области по истечении 15 (пятнадцати) календарных дней со дня направления претензии Заказчику Исполнителем.</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Иные споры и разногласия, возникающие между сторонами при исполнении настоящего Договора подлежат передаче в Арбитражный суд Мурманской области в порядке и сроки, установленные законодательством Российской Федерации. </w:t>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 xml:space="preserve">8.5. </w:t>
      </w:r>
      <w:r>
        <w:rPr>
          <w:rFonts w:cs="Times New Roman" w:ascii="Times New Roman" w:hAnsi="Times New Roman"/>
          <w:color w:val="161519"/>
          <w:sz w:val="28"/>
          <w:szCs w:val="28"/>
        </w:rPr>
        <w:t>Настоящий договор составлен в двух экземплярах, по одному для каждой стороны, каждый из которых имеет одинаковую юридическую силу. Приложения к настоящему договору, являющиеся его неотъемлемой частью:</w:t>
      </w:r>
    </w:p>
    <w:p>
      <w:pPr>
        <w:pStyle w:val="11"/>
        <w:ind w:hanging="0"/>
        <w:jc w:val="both"/>
        <w:rPr>
          <w:sz w:val="28"/>
          <w:szCs w:val="28"/>
        </w:rPr>
      </w:pPr>
      <w:r>
        <w:rPr>
          <w:sz w:val="28"/>
          <w:szCs w:val="28"/>
        </w:rPr>
        <w:tab/>
        <w:t>Перечень объектов (приложение № 1);</w:t>
      </w:r>
    </w:p>
    <w:p>
      <w:pPr>
        <w:pStyle w:val="11"/>
        <w:ind w:hanging="0"/>
        <w:jc w:val="both"/>
        <w:rPr>
          <w:sz w:val="28"/>
          <w:szCs w:val="28"/>
        </w:rPr>
      </w:pPr>
      <w:r>
        <w:rPr>
          <w:sz w:val="28"/>
          <w:szCs w:val="28"/>
        </w:rPr>
        <w:tab/>
        <w:t>Справка-расчет (приложение № 2);</w:t>
      </w:r>
    </w:p>
    <w:p>
      <w:pPr>
        <w:pStyle w:val="11"/>
        <w:ind w:hanging="0"/>
        <w:jc w:val="both"/>
        <w:rPr>
          <w:sz w:val="28"/>
          <w:szCs w:val="28"/>
        </w:rPr>
      </w:pPr>
      <w:r>
        <w:rPr>
          <w:sz w:val="28"/>
          <w:szCs w:val="28"/>
        </w:rPr>
        <w:tab/>
        <w:t>Краткая характеристика объекта (приложение № З)</w:t>
      </w:r>
      <w:r>
        <w:rPr>
          <w:rStyle w:val="Style17"/>
          <w:sz w:val="28"/>
          <w:szCs w:val="28"/>
        </w:rPr>
        <w:footnoteReference w:id="3"/>
      </w:r>
      <w:r>
        <w:rPr>
          <w:sz w:val="28"/>
          <w:szCs w:val="28"/>
        </w:rPr>
        <w:t>;</w:t>
      </w:r>
    </w:p>
    <w:p>
      <w:pPr>
        <w:pStyle w:val="11"/>
        <w:ind w:hanging="0"/>
        <w:jc w:val="both"/>
        <w:rPr>
          <w:sz w:val="28"/>
          <w:szCs w:val="28"/>
        </w:rPr>
      </w:pPr>
      <w:r>
        <w:rPr>
          <w:sz w:val="28"/>
          <w:szCs w:val="28"/>
        </w:rPr>
        <w:tab/>
        <w:t>ТСО установленные на объекте (приложение № 4)</w:t>
      </w:r>
      <w:r>
        <w:rPr>
          <w:rStyle w:val="Style17"/>
          <w:sz w:val="28"/>
          <w:szCs w:val="28"/>
        </w:rPr>
        <w:footnoteReference w:id="4"/>
      </w:r>
      <w:r>
        <w:rPr>
          <w:sz w:val="28"/>
          <w:szCs w:val="28"/>
        </w:rPr>
        <w:t>;</w:t>
      </w:r>
    </w:p>
    <w:p>
      <w:pPr>
        <w:pStyle w:val="ConsNormal"/>
        <w:widowControl/>
        <w:ind w:hanging="0"/>
        <w:jc w:val="both"/>
        <w:rPr>
          <w:rFonts w:ascii="Times New Roman" w:hAnsi="Times New Roman" w:cs="Times New Roman"/>
          <w:sz w:val="28"/>
          <w:szCs w:val="28"/>
        </w:rPr>
      </w:pPr>
      <w:r>
        <w:rPr>
          <w:rFonts w:cs="Times New Roman" w:ascii="Times New Roman" w:hAnsi="Times New Roman"/>
          <w:color w:val="161519"/>
          <w:sz w:val="28"/>
          <w:szCs w:val="28"/>
          <w:lang w:eastAsia="en-US"/>
        </w:rPr>
        <w:tab/>
        <w:t xml:space="preserve">Перечень помещений, конструкции </w:t>
      </w:r>
      <w:r>
        <w:rPr>
          <w:rFonts w:cs="Times New Roman" w:ascii="Times New Roman" w:hAnsi="Times New Roman"/>
          <w:color w:val="000000"/>
          <w:sz w:val="28"/>
          <w:szCs w:val="28"/>
          <w:lang w:eastAsia="en-US"/>
        </w:rPr>
        <w:t xml:space="preserve">от </w:t>
      </w:r>
      <w:r>
        <w:rPr>
          <w:rFonts w:cs="Times New Roman" w:ascii="Times New Roman" w:hAnsi="Times New Roman"/>
          <w:color w:val="161519"/>
          <w:sz w:val="28"/>
          <w:szCs w:val="28"/>
          <w:lang w:eastAsia="en-US"/>
        </w:rPr>
        <w:t>блокировки которых Заказчик отказался (приложение № 5</w:t>
      </w:r>
      <w:r>
        <w:rPr>
          <w:rFonts w:cs="Times New Roman" w:ascii="Times New Roman" w:hAnsi="Times New Roman"/>
          <w:color w:val="161519"/>
          <w:sz w:val="28"/>
          <w:szCs w:val="28"/>
          <w:lang w:eastAsia="en-US"/>
        </w:rPr>
        <w:t>).</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p>
      <w:pPr>
        <w:pStyle w:val="ConsNormal"/>
        <w:widowControl/>
        <w:ind w:firstLine="708"/>
        <w:jc w:val="both"/>
        <w:rPr>
          <w:rFonts w:ascii="Times New Roman" w:hAnsi="Times New Roman" w:cs="Times New Roman"/>
          <w:sz w:val="28"/>
          <w:szCs w:val="28"/>
        </w:rPr>
      </w:pPr>
      <w:r>
        <w:rPr>
          <w:rFonts w:cs="Times New Roman" w:ascii="Times New Roman" w:hAnsi="Times New Roman"/>
          <w:sz w:val="28"/>
          <w:szCs w:val="28"/>
        </w:rPr>
        <w:t>9. Реквизиты и подписи сторон:</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tbl>
      <w:tblPr>
        <w:tblStyle w:val="ab"/>
        <w:tblW w:w="9854" w:type="dxa"/>
        <w:jc w:val="left"/>
        <w:tblInd w:w="0" w:type="dxa"/>
        <w:tblCellMar>
          <w:top w:w="0" w:type="dxa"/>
          <w:left w:w="108" w:type="dxa"/>
          <w:bottom w:w="0" w:type="dxa"/>
          <w:right w:w="108" w:type="dxa"/>
        </w:tblCellMar>
        <w:tblLook w:val="04a0" w:noHBand="0" w:noVBand="1" w:firstColumn="1" w:lastRow="0" w:lastColumn="0" w:firstRow="1"/>
      </w:tblPr>
      <w:tblGrid>
        <w:gridCol w:w="4927"/>
        <w:gridCol w:w="4926"/>
      </w:tblGrid>
      <w:tr>
        <w:trPr/>
        <w:tc>
          <w:tcPr>
            <w:tcW w:w="4927" w:type="dxa"/>
            <w:tcBorders>
              <w:top w:val="nil"/>
              <w:left w:val="nil"/>
              <w:bottom w:val="nil"/>
              <w:right w:val="nil"/>
            </w:tcBorders>
          </w:tcPr>
          <w:p>
            <w:pPr>
              <w:pStyle w:val="ConsNormal"/>
              <w:widowControl/>
              <w:ind w:firstLine="708"/>
              <w:rPr>
                <w:rFonts w:ascii="Times New Roman" w:hAnsi="Times New Roman" w:cs="Times New Roman"/>
                <w:sz w:val="28"/>
                <w:szCs w:val="28"/>
              </w:rPr>
            </w:pPr>
            <w:r>
              <w:rPr>
                <w:rFonts w:cs="Times New Roman" w:ascii="Times New Roman" w:hAnsi="Times New Roman"/>
                <w:sz w:val="28"/>
                <w:szCs w:val="28"/>
              </w:rPr>
              <w:t>"Исполнитель"</w:t>
            </w:r>
          </w:p>
          <w:p>
            <w:pPr>
              <w:pStyle w:val="ConsNonformat"/>
              <w:widowControl/>
              <w:jc w:val="center"/>
              <w:rPr>
                <w:rFonts w:ascii="Times New Roman" w:hAnsi="Times New Roman" w:cs="Times New Roman"/>
                <w:sz w:val="28"/>
                <w:szCs w:val="28"/>
              </w:rPr>
            </w:pPr>
            <w:r>
              <w:rPr>
                <w:rFonts w:cs="Times New Roman" w:ascii="Times New Roman" w:hAnsi="Times New Roman"/>
                <w:sz w:val="28"/>
                <w:szCs w:val="28"/>
              </w:rPr>
            </w:r>
          </w:p>
        </w:tc>
        <w:tc>
          <w:tcPr>
            <w:tcW w:w="4926" w:type="dxa"/>
            <w:tcBorders>
              <w:top w:val="nil"/>
              <w:left w:val="nil"/>
              <w:bottom w:val="nil"/>
              <w:right w:val="nil"/>
            </w:tcBorders>
          </w:tcPr>
          <w:p>
            <w:pPr>
              <w:pStyle w:val="ConsNormal"/>
              <w:widowControl/>
              <w:ind w:firstLine="708"/>
              <w:rPr>
                <w:rFonts w:ascii="Times New Roman" w:hAnsi="Times New Roman" w:cs="Times New Roman"/>
                <w:sz w:val="28"/>
                <w:szCs w:val="28"/>
              </w:rPr>
            </w:pPr>
            <w:r>
              <w:rPr>
                <w:rFonts w:cs="Times New Roman" w:ascii="Times New Roman" w:hAnsi="Times New Roman"/>
                <w:sz w:val="28"/>
                <w:szCs w:val="28"/>
              </w:rPr>
              <w:t>"Заказчик"</w:t>
            </w:r>
          </w:p>
          <w:p>
            <w:pPr>
              <w:pStyle w:val="ConsNonformat"/>
              <w:widowControl/>
              <w:rPr>
                <w:rFonts w:ascii="Times New Roman" w:hAnsi="Times New Roman" w:cs="Times New Roman"/>
                <w:sz w:val="28"/>
                <w:szCs w:val="28"/>
              </w:rPr>
            </w:pPr>
            <w:r>
              <w:rPr>
                <w:rFonts w:cs="Times New Roman" w:ascii="Times New Roman" w:hAnsi="Times New Roman"/>
                <w:sz w:val="28"/>
                <w:szCs w:val="28"/>
              </w:rPr>
            </w:r>
          </w:p>
        </w:tc>
      </w:tr>
    </w:tbl>
    <w:p>
      <w:pPr>
        <w:pStyle w:val="ConsNormal"/>
        <w:widowControl/>
        <w:ind w:hanging="0"/>
        <w:jc w:val="right"/>
        <w:rPr>
          <w:rFonts w:ascii="Times New Roman" w:hAnsi="Times New Roman" w:cs="Times New Roman"/>
          <w:sz w:val="28"/>
          <w:szCs w:val="28"/>
        </w:rPr>
      </w:pPr>
      <w:r>
        <w:rPr/>
      </w:r>
    </w:p>
    <w:sectPr>
      <w:headerReference w:type="default" r:id="rId2"/>
      <w:footnotePr>
        <w:numFmt w:val="decimal"/>
        <w:numRestart w:val="eachPage"/>
      </w:footnotePr>
      <w:type w:val="nextPage"/>
      <w:pgSz w:w="11906" w:h="16838"/>
      <w:pgMar w:left="1701" w:right="567" w:header="708" w:top="1134" w:footer="0" w:bottom="1134"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Tahoma">
    <w:charset w:val="01"/>
    <w:family w:val="swiss"/>
    <w:pitch w:val="default"/>
  </w:font>
  <w:font w:name="PT Astra Serif">
    <w:charset w:val="01"/>
    <w:family w:val="swiss"/>
    <w:pitch w:val="default"/>
  </w:font>
  <w:font w:name="Arial">
    <w:charset w:val="01"/>
    <w:family w:val="swiss"/>
    <w:pitch w:val="default"/>
  </w:font>
  <w:font w:name="Courier New">
    <w:charset w:val="01"/>
    <w:family w:val="swiss"/>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30"/>
        <w:jc w:val="both"/>
        <w:rPr/>
      </w:pPr>
      <w:r>
        <w:rPr>
          <w:rStyle w:val="Style19"/>
        </w:rPr>
        <w:footnoteRef/>
      </w:r>
      <w:r>
        <w:rPr/>
        <w:t xml:space="preserve"> </w:t>
      </w:r>
      <w:r>
        <w:rPr/>
        <w:t>Под обслуживающей организацией понимается организация, имеющая право на проведение работ по монтажу, техническому обслуживанию и ремонту ТСО, установленных на объектах, переданных под охрану подразделениям вневедомственной охраны Мурманской области, в соответствии с законодательными и иными нормативными правовыми актами Российской Федерации.</w:t>
      </w:r>
    </w:p>
    <w:p>
      <w:pPr>
        <w:pStyle w:val="Style30"/>
        <w:rPr/>
      </w:pPr>
      <w:r>
        <w:rPr/>
      </w:r>
    </w:p>
  </w:footnote>
  <w:footnote w:id="3">
    <w:p>
      <w:pPr>
        <w:pStyle w:val="Style30"/>
        <w:rPr>
          <w:sz w:val="12"/>
          <w:szCs w:val="12"/>
        </w:rPr>
      </w:pPr>
      <w:r>
        <w:rPr>
          <w:rStyle w:val="Style19"/>
        </w:rPr>
        <w:footnoteRef/>
      </w:r>
      <w:r>
        <w:rPr>
          <w:sz w:val="12"/>
          <w:szCs w:val="12"/>
        </w:rPr>
        <w:t xml:space="preserve"> </w:t>
      </w:r>
      <w:r>
        <w:rPr>
          <w:sz w:val="12"/>
          <w:szCs w:val="12"/>
        </w:rPr>
        <w:t>В приложении указывается категория объекта, адрес его местонахождения; этажность; материал стен, пола и перекрытий; наличие подвалов, чердаков, технических этажей; ограждение территории; пути подъезда; наличие других видов охраны; наличие животных.</w:t>
      </w:r>
    </w:p>
  </w:footnote>
  <w:footnote w:id="4">
    <w:p>
      <w:pPr>
        <w:pStyle w:val="Style30"/>
        <w:rPr>
          <w:rFonts w:ascii="Times New Roman" w:hAnsi="Times New Roman" w:cs="Times New Roman"/>
          <w:sz w:val="13"/>
          <w:szCs w:val="13"/>
        </w:rPr>
      </w:pPr>
      <w:r>
        <w:rPr>
          <w:rStyle w:val="Style19"/>
        </w:rPr>
        <w:footnoteRef/>
      </w:r>
      <w:r>
        <w:rPr>
          <w:rFonts w:cs="Times New Roman"/>
          <w:sz w:val="13"/>
          <w:szCs w:val="13"/>
        </w:rPr>
        <w:t xml:space="preserve"> </w:t>
      </w:r>
      <w:r>
        <w:rPr>
          <w:rFonts w:cs="Times New Roman"/>
          <w:sz w:val="13"/>
          <w:szCs w:val="13"/>
        </w:rPr>
        <w:t>В приложении указываются конкретные места и способы их блокировки.</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2089997217"/>
    </w:sdtPr>
    <w:sdtContent>
      <w:p>
        <w:pPr>
          <w:pStyle w:val="Style28"/>
          <w:jc w:val="center"/>
          <w:rPr/>
        </w:pPr>
        <w:r>
          <w:rPr/>
          <w:fldChar w:fldCharType="begin"/>
        </w:r>
        <w:r>
          <w:rPr/>
          <w:instrText> PAGE </w:instrText>
        </w:r>
        <w:r>
          <w:rPr/>
          <w:fldChar w:fldCharType="separate"/>
        </w:r>
        <w:r>
          <w:rPr/>
          <w:t>9</w:t>
        </w:r>
        <w:r>
          <w:rPr/>
          <w:fldChar w:fldCharType="end"/>
        </w:r>
      </w:p>
    </w:sdtContent>
  </w:sdt>
  <w:p>
    <w:pPr>
      <w:pStyle w:val="Style28"/>
      <w:rPr/>
    </w:pPr>
    <w:r>
      <w:rPr/>
    </w:r>
  </w:p>
</w:hdr>
</file>

<file path=word/settings.xml><?xml version="1.0" encoding="utf-8"?>
<w:settings xmlns:w="http://schemas.openxmlformats.org/wordprocessingml/2006/main">
  <w:zoom w:percent="75"/>
  <w:defaultTabStop w:val="708"/>
  <w:autoHyphenation w:val="true"/>
  <w:footnotePr>
    <w:numFmt w:val="decimal"/>
    <w:numRestart w:val="eachPage"/>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Block Text"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972e6"/>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ru-RU" w:eastAsia="ru-RU"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3"/>
    <w:uiPriority w:val="99"/>
    <w:qFormat/>
    <w:rsid w:val="004925e0"/>
    <w:rPr>
      <w:rFonts w:ascii="Times New Roman" w:hAnsi="Times New Roman" w:eastAsia="Times New Roman" w:cs="Times New Roman"/>
      <w:sz w:val="24"/>
      <w:szCs w:val="24"/>
      <w:lang w:eastAsia="ru-RU"/>
    </w:rPr>
  </w:style>
  <w:style w:type="character" w:styleId="Style15" w:customStyle="1">
    <w:name w:val="Нижний колонтитул Знак"/>
    <w:basedOn w:val="DefaultParagraphFont"/>
    <w:link w:val="a5"/>
    <w:uiPriority w:val="99"/>
    <w:semiHidden/>
    <w:qFormat/>
    <w:rsid w:val="004925e0"/>
    <w:rPr>
      <w:rFonts w:ascii="Times New Roman" w:hAnsi="Times New Roman" w:eastAsia="Times New Roman" w:cs="Times New Roman"/>
      <w:sz w:val="24"/>
      <w:szCs w:val="24"/>
      <w:lang w:eastAsia="ru-RU"/>
    </w:rPr>
  </w:style>
  <w:style w:type="character" w:styleId="Style16" w:customStyle="1">
    <w:name w:val="Текст сноски Знак"/>
    <w:basedOn w:val="DefaultParagraphFont"/>
    <w:link w:val="a8"/>
    <w:uiPriority w:val="99"/>
    <w:semiHidden/>
    <w:qFormat/>
    <w:rsid w:val="00be5b09"/>
    <w:rPr>
      <w:rFonts w:ascii="Times New Roman" w:hAnsi="Times New Roman" w:eastAsia="Times New Roman" w:cs="Times New Roman"/>
      <w:sz w:val="20"/>
      <w:szCs w:val="20"/>
      <w:lang w:eastAsia="ru-RU"/>
    </w:rPr>
  </w:style>
  <w:style w:type="character" w:styleId="Style17">
    <w:name w:val="Привязка сноски"/>
    <w:rPr>
      <w:vertAlign w:val="superscript"/>
    </w:rPr>
  </w:style>
  <w:style w:type="character" w:styleId="FootnoteCharacters">
    <w:name w:val="Footnote Characters"/>
    <w:basedOn w:val="DefaultParagraphFont"/>
    <w:uiPriority w:val="99"/>
    <w:semiHidden/>
    <w:unhideWhenUsed/>
    <w:qFormat/>
    <w:rsid w:val="00be5b09"/>
    <w:rPr>
      <w:vertAlign w:val="superscript"/>
    </w:rPr>
  </w:style>
  <w:style w:type="character" w:styleId="Style18" w:customStyle="1">
    <w:name w:val="Текст выноски Знак"/>
    <w:basedOn w:val="DefaultParagraphFont"/>
    <w:link w:val="ac"/>
    <w:uiPriority w:val="99"/>
    <w:semiHidden/>
    <w:qFormat/>
    <w:rsid w:val="00fd4d58"/>
    <w:rPr>
      <w:rFonts w:ascii="Tahoma" w:hAnsi="Tahoma" w:eastAsia="Times New Roman" w:cs="Tahoma"/>
      <w:sz w:val="16"/>
      <w:szCs w:val="16"/>
      <w:lang w:eastAsia="ru-RU"/>
    </w:rPr>
  </w:style>
  <w:style w:type="character" w:styleId="Style19">
    <w:name w:val="Символ сноски"/>
    <w:qFormat/>
    <w:rPr/>
  </w:style>
  <w:style w:type="character" w:styleId="Style20">
    <w:name w:val="Привязка концевой сноски"/>
    <w:rPr>
      <w:vertAlign w:val="superscript"/>
    </w:rPr>
  </w:style>
  <w:style w:type="character" w:styleId="Style21">
    <w:name w:val="Символ концевой сноски"/>
    <w:qFormat/>
    <w:rPr/>
  </w:style>
  <w:style w:type="paragraph" w:styleId="Style22">
    <w:name w:val="Заголовок"/>
    <w:basedOn w:val="Normal"/>
    <w:next w:val="Style23"/>
    <w:qFormat/>
    <w:pPr>
      <w:keepNext w:val="true"/>
      <w:spacing w:before="240" w:after="120"/>
    </w:pPr>
    <w:rPr>
      <w:rFonts w:ascii="PT Astra Serif" w:hAnsi="PT Astra Serif" w:eastAsia="Tahoma" w:cs="Noto Sans Devanagari"/>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ascii="PT Astra Serif" w:hAnsi="PT Astra Serif" w:cs="Noto Sans Devanagari"/>
    </w:rPr>
  </w:style>
  <w:style w:type="paragraph" w:styleId="Style25">
    <w:name w:val="Caption"/>
    <w:basedOn w:val="Normal"/>
    <w:qFormat/>
    <w:pPr>
      <w:suppressLineNumbers/>
      <w:spacing w:before="120" w:after="120"/>
    </w:pPr>
    <w:rPr>
      <w:rFonts w:ascii="PT Astra Serif" w:hAnsi="PT Astra Serif" w:cs="Noto Sans Devanagari"/>
      <w:i/>
      <w:iCs/>
      <w:sz w:val="24"/>
      <w:szCs w:val="24"/>
    </w:rPr>
  </w:style>
  <w:style w:type="paragraph" w:styleId="Style26">
    <w:name w:val="Указатель"/>
    <w:basedOn w:val="Normal"/>
    <w:qFormat/>
    <w:pPr>
      <w:suppressLineNumbers/>
    </w:pPr>
    <w:rPr>
      <w:rFonts w:ascii="PT Astra Serif" w:hAnsi="PT Astra Serif" w:cs="Noto Sans Devanagari"/>
    </w:rPr>
  </w:style>
  <w:style w:type="paragraph" w:styleId="ConsNormal" w:customStyle="1">
    <w:name w:val="ConsNormal"/>
    <w:qFormat/>
    <w:rsid w:val="00527c0e"/>
    <w:pPr>
      <w:widowControl w:val="false"/>
      <w:suppressAutoHyphens w:val="true"/>
      <w:bidi w:val="0"/>
      <w:spacing w:lineRule="auto" w:line="240" w:before="0" w:after="0"/>
      <w:ind w:firstLine="720"/>
      <w:jc w:val="left"/>
    </w:pPr>
    <w:rPr>
      <w:rFonts w:ascii="Arial" w:hAnsi="Arial" w:eastAsia="" w:cs="Arial" w:eastAsiaTheme="minorEastAsia"/>
      <w:color w:val="auto"/>
      <w:kern w:val="0"/>
      <w:sz w:val="20"/>
      <w:szCs w:val="20"/>
      <w:lang w:val="ru-RU" w:eastAsia="ru-RU" w:bidi="ar-SA"/>
    </w:rPr>
  </w:style>
  <w:style w:type="paragraph" w:styleId="ConsNonformat" w:customStyle="1">
    <w:name w:val="ConsNonformat"/>
    <w:uiPriority w:val="99"/>
    <w:qFormat/>
    <w:rsid w:val="00527c0e"/>
    <w:pPr>
      <w:widowControl w:val="false"/>
      <w:suppressAutoHyphens w:val="true"/>
      <w:bidi w:val="0"/>
      <w:spacing w:lineRule="auto" w:line="240" w:before="0" w:after="0"/>
      <w:jc w:val="left"/>
    </w:pPr>
    <w:rPr>
      <w:rFonts w:ascii="Courier New" w:hAnsi="Courier New" w:eastAsia="" w:cs="Courier New" w:eastAsiaTheme="minorEastAsia"/>
      <w:color w:val="auto"/>
      <w:kern w:val="0"/>
      <w:sz w:val="20"/>
      <w:szCs w:val="20"/>
      <w:lang w:val="ru-RU" w:eastAsia="ru-RU" w:bidi="ar-SA"/>
    </w:rPr>
  </w:style>
  <w:style w:type="paragraph" w:styleId="ConsTitle" w:customStyle="1">
    <w:name w:val="ConsTitle"/>
    <w:uiPriority w:val="99"/>
    <w:qFormat/>
    <w:rsid w:val="00527c0e"/>
    <w:pPr>
      <w:widowControl w:val="false"/>
      <w:suppressAutoHyphens w:val="true"/>
      <w:bidi w:val="0"/>
      <w:spacing w:lineRule="auto" w:line="240" w:before="0" w:after="0"/>
      <w:jc w:val="left"/>
    </w:pPr>
    <w:rPr>
      <w:rFonts w:ascii="Arial" w:hAnsi="Arial" w:eastAsia="" w:cs="Arial" w:eastAsiaTheme="minorEastAsia"/>
      <w:b/>
      <w:bCs/>
      <w:color w:val="auto"/>
      <w:kern w:val="0"/>
      <w:sz w:val="16"/>
      <w:szCs w:val="16"/>
      <w:lang w:val="ru-RU" w:eastAsia="ru-RU" w:bidi="ar-SA"/>
    </w:rPr>
  </w:style>
  <w:style w:type="paragraph" w:styleId="Style27">
    <w:name w:val="Верхний и нижний колонтитулы"/>
    <w:basedOn w:val="Normal"/>
    <w:qFormat/>
    <w:pPr/>
    <w:rPr/>
  </w:style>
  <w:style w:type="paragraph" w:styleId="Style28">
    <w:name w:val="Header"/>
    <w:basedOn w:val="Normal"/>
    <w:link w:val="a4"/>
    <w:uiPriority w:val="99"/>
    <w:unhideWhenUsed/>
    <w:rsid w:val="004925e0"/>
    <w:pPr>
      <w:tabs>
        <w:tab w:val="clear" w:pos="708"/>
        <w:tab w:val="center" w:pos="4677" w:leader="none"/>
        <w:tab w:val="right" w:pos="9355" w:leader="none"/>
      </w:tabs>
    </w:pPr>
    <w:rPr/>
  </w:style>
  <w:style w:type="paragraph" w:styleId="Style29">
    <w:name w:val="Footer"/>
    <w:basedOn w:val="Normal"/>
    <w:link w:val="a6"/>
    <w:uiPriority w:val="99"/>
    <w:semiHidden/>
    <w:unhideWhenUsed/>
    <w:rsid w:val="004925e0"/>
    <w:pPr>
      <w:tabs>
        <w:tab w:val="clear" w:pos="708"/>
        <w:tab w:val="center" w:pos="4677" w:leader="none"/>
        <w:tab w:val="right" w:pos="9355" w:leader="none"/>
      </w:tabs>
    </w:pPr>
    <w:rPr/>
  </w:style>
  <w:style w:type="paragraph" w:styleId="BlockText">
    <w:name w:val="Block Text"/>
    <w:basedOn w:val="Normal"/>
    <w:qFormat/>
    <w:rsid w:val="00e23a24"/>
    <w:pPr>
      <w:widowControl w:val="false"/>
      <w:shd w:val="clear" w:color="auto" w:fill="FFFFFF"/>
      <w:spacing w:lineRule="exact" w:line="398" w:before="0" w:after="878"/>
      <w:ind w:left="1008" w:right="499" w:firstLine="883"/>
    </w:pPr>
    <w:rPr>
      <w:b/>
      <w:bCs/>
      <w:color w:val="000000"/>
      <w:spacing w:val="-17"/>
      <w:sz w:val="27"/>
      <w:szCs w:val="27"/>
    </w:rPr>
  </w:style>
  <w:style w:type="paragraph" w:styleId="Style30">
    <w:name w:val="Footnote Text"/>
    <w:basedOn w:val="Normal"/>
    <w:link w:val="a9"/>
    <w:uiPriority w:val="99"/>
    <w:semiHidden/>
    <w:unhideWhenUsed/>
    <w:rsid w:val="00be5b09"/>
    <w:pPr/>
    <w:rPr>
      <w:sz w:val="20"/>
      <w:szCs w:val="20"/>
    </w:rPr>
  </w:style>
  <w:style w:type="paragraph" w:styleId="1" w:customStyle="1">
    <w:name w:val="Обычный1"/>
    <w:qFormat/>
    <w:rsid w:val="00671f8a"/>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ConsPlusNormal" w:customStyle="1">
    <w:name w:val="ConsPlusNormal"/>
    <w:qFormat/>
    <w:rsid w:val="0040490f"/>
    <w:pPr>
      <w:widowControl/>
      <w:suppressAutoHyphens w:val="true"/>
      <w:bidi w:val="0"/>
      <w:spacing w:lineRule="auto" w:line="240" w:before="0" w:after="0"/>
      <w:jc w:val="left"/>
    </w:pPr>
    <w:rPr>
      <w:rFonts w:ascii="Times New Roman" w:hAnsi="Times New Roman" w:eastAsia="Calibri" w:cs="Times New Roman" w:eastAsiaTheme="minorHAnsi"/>
      <w:color w:val="auto"/>
      <w:kern w:val="0"/>
      <w:sz w:val="28"/>
      <w:szCs w:val="28"/>
      <w:lang w:val="ru-RU" w:eastAsia="en-US" w:bidi="ar-SA"/>
    </w:rPr>
  </w:style>
  <w:style w:type="paragraph" w:styleId="BalloonText">
    <w:name w:val="Balloon Text"/>
    <w:basedOn w:val="Normal"/>
    <w:link w:val="ad"/>
    <w:uiPriority w:val="99"/>
    <w:semiHidden/>
    <w:unhideWhenUsed/>
    <w:qFormat/>
    <w:rsid w:val="00fd4d58"/>
    <w:pPr/>
    <w:rPr>
      <w:rFonts w:ascii="Tahoma" w:hAnsi="Tahoma" w:cs="Tahoma"/>
      <w:sz w:val="16"/>
      <w:szCs w:val="16"/>
    </w:rPr>
  </w:style>
  <w:style w:type="paragraph" w:styleId="11">
    <w:name w:val="Основной текст1"/>
    <w:basedOn w:val="Normal"/>
    <w:qFormat/>
    <w:pPr>
      <w:ind w:firstLine="400"/>
    </w:pPr>
    <w:rPr>
      <w:rFonts w:ascii="Times New Roman" w:hAnsi="Times New Roman" w:eastAsia="Times New Roman" w:cs="Times New Roman"/>
      <w:sz w:val="19"/>
      <w:szCs w:val="19"/>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b">
    <w:name w:val="Table Grid"/>
    <w:basedOn w:val="a1"/>
    <w:uiPriority w:val="59"/>
    <w:rsid w:val="001169f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57315-69F1-44AA-821F-688BCFFC9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Application>LibreOffice/6.4.7.2$Linux_X86_64 LibreOffice_project/40$Build-2</Application>
  <Pages>9</Pages>
  <Words>2533</Words>
  <Characters>17869</Characters>
  <CharactersWithSpaces>20371</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2016-12-09T06:44:00Z</dcterms:created>
  <dc:creator>СмирновВВ</dc:creator>
  <dc:description/>
  <dc:language>ru-RU</dc:language>
  <cp:lastModifiedBy/>
  <cp:lastPrinted>2016-12-14T07:00:00Z</cp:lastPrinted>
  <dcterms:modified xsi:type="dcterms:W3CDTF">2025-06-17T14:05:07Z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