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Normal"/>
        <w:widowControl/>
        <w:ind w:firstLine="540"/>
        <w:jc w:val="both"/>
        <w:rPr>
          <w:rFonts w:ascii="Times New Roman" w:hAnsi="Times New Roman" w:cs="Times New Roman"/>
          <w:sz w:val="28"/>
          <w:szCs w:val="28"/>
        </w:rPr>
      </w:pPr>
      <w:r>
        <w:rPr>
          <w:rFonts w:cs="Times New Roman" w:ascii="Times New Roman" w:hAnsi="Times New Roman"/>
          <w:sz w:val="28"/>
          <w:szCs w:val="28"/>
        </w:rPr>
        <w:tab/>
        <w:tab/>
        <w:tab/>
      </w:r>
    </w:p>
    <w:p>
      <w:pPr>
        <w:pStyle w:val="ConsNormal"/>
        <w:widowControl/>
        <w:ind w:firstLine="540"/>
        <w:jc w:val="center"/>
        <w:rPr>
          <w:rFonts w:ascii="Times New Roman" w:hAnsi="Times New Roman" w:cs="Times New Roman"/>
          <w:sz w:val="28"/>
          <w:szCs w:val="28"/>
        </w:rPr>
      </w:pPr>
      <w:r>
        <w:rPr>
          <w:rFonts w:cs="Times New Roman" w:ascii="Times New Roman" w:hAnsi="Times New Roman"/>
          <w:sz w:val="28"/>
          <w:szCs w:val="28"/>
        </w:rPr>
        <w:t>ДОГОВОР № _______</w:t>
      </w:r>
    </w:p>
    <w:p>
      <w:pPr>
        <w:pStyle w:val="ConsNormal"/>
        <w:widowControl/>
        <w:ind w:firstLine="540"/>
        <w:jc w:val="center"/>
        <w:rPr>
          <w:rFonts w:ascii="Times New Roman" w:hAnsi="Times New Roman" w:cs="Times New Roman"/>
          <w:sz w:val="28"/>
          <w:szCs w:val="28"/>
        </w:rPr>
      </w:pPr>
      <w:r>
        <w:rPr>
          <w:rFonts w:cs="Times New Roman" w:ascii="Times New Roman" w:hAnsi="Times New Roman"/>
          <w:sz w:val="28"/>
          <w:szCs w:val="28"/>
        </w:rPr>
        <w:t>на охрану объекта при помощи  тревожной сигнализации</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t>г. _________________                                                           "____" _______ 20___ г.</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___________(указывается наименование контрагента), именуемый(ое) в дальнейшем Заказчик, в лице (указывается должность руководителя) фамилия, имя отчество , действующего на основании Положения (Устава) утвержденного приказом от____ г. №____ , с одной стороны, и федеральное государственное казенное учреждение "Управление вневедомственной охраны войск национальной гвардии  Российской Федерации по Мурманской области", именуемое в дальнейшем Исполнитель в лице начальника (указывается наименование филиала) - филиала федерального государственного казенного учреждения "Управление вневедомственной охраны войск национальной гвардии Российской Федерации по Мурманской области" (фамилия, имя, отчество), действующего на основании Положения о филиале и доверенности от ______ 20___ года №__ , с другой стороны, а вместе именуемые Стороны, заключили настоящий договор о нижеследующем:</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1. Предмет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1.1. Предметом настоящего договора является обеспечение оперативного реагирования на сообщение о срабатывании тревожной сигнализации (КТС) на подключенном к пульту централизованного наблюдения (ПЦН) "Исполнителя" объекте "Заказчика" путем немедленного направления группы задержания. </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1.2. "Заказчик" обязуется своевременно производить оплату за предоставляемые услуги.</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 Общие положения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2.1. Наименование и адрес объектов, оборудованных КТС и подключенных на ПЦН, указываются в Перечне объектов (Приложение №1), который является неотъемлемой частью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2.2. Режим работы КТС, в течение которого осуществляется централизованное наблюдение за объектом, устанавливается в Приложении №1.</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2.3. Обследование принимаемых Исполнителем под охрану объектов, производится межведомственной комиссией в составе представителей Исполнителя, Заказчика и организацией, уполномоченной на проведение проектно-монтажных работ, обслуживающей организации</w:t>
      </w:r>
      <w:r>
        <w:rPr>
          <w:rStyle w:val="Style17"/>
          <w:rFonts w:cs="Times New Roman" w:ascii="Times New Roman" w:hAnsi="Times New Roman"/>
          <w:sz w:val="28"/>
          <w:szCs w:val="28"/>
        </w:rPr>
        <w:footnoteReference w:id="2"/>
      </w:r>
      <w:r>
        <w:rPr>
          <w:rFonts w:cs="Times New Roman" w:ascii="Times New Roman" w:hAnsi="Times New Roman"/>
          <w:sz w:val="28"/>
          <w:szCs w:val="28"/>
        </w:rPr>
        <w:t>. При необходимости в комиссию в установленном порядке могут быть привлечены специалисты других заинтересованных организаций и ведомств.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Результаты обследования оформляются актом, составляемым сторонами до заключения договора, который приобщается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Ответственность за исправность технических средств охраны (далее - ТСО), установленных на объекте, несет Заказчик.</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Последующее обследование технического состояния объектов проводится при необходимости, но не реже</w:t>
      </w:r>
      <w:r>
        <w:rPr>
          <w:rFonts w:cs="Times New Roman" w:ascii="Times New Roman" w:hAnsi="Times New Roman" w:eastAsiaTheme="minorEastAsia"/>
          <w:sz w:val="28"/>
          <w:szCs w:val="28"/>
          <w:highlight w:val="white"/>
        </w:rPr>
        <w:t xml:space="preserve"> </w:t>
      </w:r>
      <w:r>
        <w:rPr>
          <w:rFonts w:eastAsia="Calibri" w:cs="Times New Roman" w:ascii="Times New Roman" w:hAnsi="Times New Roman"/>
          <w:i w:val="false"/>
          <w:iCs w:val="false"/>
          <w:color w:val="000000"/>
          <w:sz w:val="28"/>
          <w:szCs w:val="28"/>
          <w:highlight w:val="white"/>
          <w:lang w:eastAsia="en-US"/>
        </w:rPr>
        <w:t>одного раза в год</w:t>
      </w:r>
      <w:r>
        <w:rPr>
          <w:rFonts w:cs="Times New Roman" w:ascii="Times New Roman" w:hAnsi="Times New Roman" w:eastAsiaTheme="minorEastAsia"/>
          <w:sz w:val="28"/>
          <w:szCs w:val="28"/>
          <w:highlight w:val="white"/>
        </w:rPr>
        <w:t>, пр</w:t>
      </w:r>
      <w:r>
        <w:rPr>
          <w:rFonts w:cs="Times New Roman" w:ascii="Times New Roman" w:hAnsi="Times New Roman"/>
          <w:sz w:val="28"/>
          <w:szCs w:val="28"/>
        </w:rPr>
        <w:t>едставителями Исполнителя и Заказчика с участием других заинтересованных служб (при необходимости) с составлением соответствующего акта, с указанием в нем работоспособности ТСО, выявленных недостатков по технической укрепленности объектов, а также необходимых мероприятий по их устранению и сроков выполнения этих мероприятий.</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2.4. Порядок взятия КТС под централизованное наблюдение и ее снятие производится в соответствии с инструкцией по правилам пользования КТС, выдаваемой "Заказчику" либо его представителю под роспись при проведении первичного инструктажа.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2.5.  Требования нормативных актов РФ и действующих руководящих документов по охранной деятельности, направленные на усиление охраны и технической укреплённости объектов являются обязательными для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2.6. "Заказчик" вправе приостановить действие договора с сохранением подключения к системам передачи извещений в отношении объекта, за которым осуществляется централизованное наблюдение с помощью ТСО с письменным уведомлением об этом "Исполнителя" не менее чем за 10 дней. </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 Обязанности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 "Исполнитель" обязан: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3.1.1. Обеспечить прибытие группы задержания (ГЗ) на объект при срабатывании КТС. При получении "Исполнителем" сигнала "тревога" из охраняемого объекта ГЗ "Исполнителя" незамедлительно направляется на объект "Заказчика" с соблюдением правил дорожного движения.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3.1.2. Пресекать правонарушения и преступления, направленные против имущества "Заказчика".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 "Заказчик" обязан: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 Соблюдать правила пользования КТС.</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3.2.2. Принимать меры к своевременному ремонту каналов связи и сети электропитания, к которым подключены средства тревожной сигнализации.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3.2.3. Компенсировать "Исполнителю" в десятидневный срок, с момента направления счета, расходы, связанные с выездом группы задержания по ложным сигналам "тревога", допущенным по вине "Заказчика". Размер компенсации устанавливается "Исполнителем" на основании действующих тарифов. Ложная тревога - любое тревожное извещение, вызванное событиями, не связанными с попытками незаконного проникновения третьих лиц на охраняемый объект.</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3.2.4. Иметь действующий договор на техническое (эксплуатационное) обслуживание ТСО с обслуживающей организацией. Предоставить Исполнителю в письменном виде данные об обслуживающей организации: наименование, местонахождение, контактные телефоны.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Объемы, содержание и порядок выполнения работ по техническому обслуживанию ТСО определяются технической документацией на ТСО, а также действующими нормативными правовыми актами и организационно-методическими документами по охранной деятельности.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3.2.5. Осуществлять в сроки, указанные в соответствующих актах, мероприятия по технической укрепленности объектов и их оборудованию ТСО, создавать надлежащие условия для обеспечения сохранности материальных ценностей в соответствии с нормативными актами РФ и действующими руководящими документами по охранной деятельности.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3.2.6. Об утрате права собственности, иного вещного права на объект охраны, сдаче объекта или его части в аренду, субаренду, безвозмездное пользование не менее чем за 5 дней письменно информировать Исполнителя. При наличии имущественного спора в отношении объекта охраны - немедленно в письменном виде информировать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3.2.7. В случае заявления о причинении ущерба в обязательном порядке в день обнаружения ущерба в присутствии уполномоченных представителей "Исполнителя" в строгом соответствии с данными бухгалтерского учета на день происшествия произвести снятие остатков материальных ценностей с составлением двустороннего акта инвентаризации. Не допускать снятие остатков материальных ценностей без представителя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3.2.8. Проводить капитальный ремонт или полную замену средств ТСО при невозможности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также с учетом срока эксплуатации ТСО, заявленного предприятием-изготовителем, на основании заключения (акта) комиссии, состоящей из представителей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3.2.9. Предоставить "Исполнителю" данные о служебных, домашних, мобильных телефонах, а также адреса доверенных лиц (работников "Заказчика"). Не менее чем за 3 дня письменно уведомить "Исполнителя" об изменениях в указанных данных.</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3.2.10. Компенсировать "Исполнителю" соответствующие затраты за сохранение подключения к системам передачи извещений, в случаях приостановления действия договора. </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 Ответственность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4.1. Стороны несут друг перед другом ответственность за неисполнение или ненадлежащее исполнение настоящего договора в соответствии с действующим законодательством и настоящим договором.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4.2. В случае неисполнения или ненадлежащего исполнения своих обязательств "Исполнитель" несет ограниченную ответственность перед "Заказчиком" в размере месячной стоимости предоставленной услуги по контролю за объектом, на который совершено нападение, при наличии вины, установленной судом.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4.3. Возмещение ущерба производится на основании вступившего в законную силу решения суда и исполнительного листа.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4.4. Размер ущерба подтверждается надлежащими документами и расчетами стоимости похищенных или поврежденных товарно-материальных ценностей или денежных средств. Для этих целей производятся действия, предусмотренные п. 3.2.7.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4.5. В случае выезда ГЗ по вызову "Заказчика" в период времени, не указанный в Приложении № 1, "Заказчик" выплачивает "Исполнителю" компенсацию в десятидневный срок с момента направления счета за каждый выезд в соответствии с действующим тарифом, как за выезд группы задержания по "ложным" сигналам "тревога".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4.6. "Заказчик" не несет ответственности за жизнь и здоровье сотрудников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 "Исполнитель" не несет ответственности за жизнь, здоровье "Заказчика" или его работников.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4.8. В случае просрочки оплаты за оказанные услуги "Заказчик" обязан уплатить неустойку в размере 0,2% за каждый день просрочки исполнения обязательства до полного погашения задолженности. </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 "Исполнитель" не несет ответственности в случаях, когда докажет отсутствие своей вины, а также в следующих случаях:</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4.9.1. При отсутствии технического (эксплуатационного) обслуживания КТС обслуживающей организацией если это послужило причиной возникновения ущерба.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4.9.2. Если ущерб причинен в период времени, не указанный в Приложении № 1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4.9.3. Если лица, проникшие на объект, задержаны.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4.9.4. Если ущерб причинен конструкциям и деталям, расположенным по внешнему периметру объекта (замки, двери, окна, оконные, дверные и витринные стекла и иные конструкции).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4.9.5. Совершения посторонними лицами тайного хищения имущества (кражи).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4.9.6. Скоротечного хищения, повреждения, уничтожения имущества. Скоротечное хищение, повреждение, уничтожение имущества – деяние, совершенное в период времени с момента использования КТС "Заказчиком" и поступления тревожного извещения на ПЦН до выхода посягавшего на имущество "Заказчика" постороннего лица из объекта, за который прибытие группы задержания и задержание посягавшего были невозможны. К скоротечному хищению, повреждению, уничтожению имущества "Стороны" договорились относить также те случаи, когда "Заказчик" воспользовался КТС после того, как посягательство уже прекратилось.</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4.9.7. Несвоевременной подачи "Заказчиком" сигнала "тревога".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4.9.8. В случае неисправности ТСО, установленных на объекте "Заказчика".</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 Цена договора и порядок расчетов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5.1. Цена договора определяется в зависимости от количества часов, в течение которых осуществляется централизованное наблюдение за объектом, на основании утвержденного тарифа и указывается в Приложении № 2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5.2. Оплата услуг "Исполнителя" производится "Заказчиком" ежемесячно в безналичном порядке путем перечисления сумм, указанных в Приложении № 2, до 20 числа текущего месяца на основании выставленного счета, счета-фактуры. Обязанность "Заказчика" производить оплату услуг в установленный срок не ставится в зависимость от получения "Заказчиком" счета, счета-фактуры. "Исполнитель" не обязан доказывать факт направления "Заказчику" счета, счета-фактуры. Фактом оплаты признается поступление денежных средств на расчетный счет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5.3. Цена договора, указанная в Приложении № 2, пересматривается "Исполнителем" в одностороннем порядке в соответствии с требованиями Федерального закона от 3 июля  2016 г. № 226-ФЗ "О войсках национальной гвардии Российской Федерации" и определяется в порядке, устанавливаемом Правительством Российской Федерации. Уведомление "Заказчика" об изменении цены договора производится путем направления нового Приложения № 2 (не позднее, чем за 10 дней до изменения цены договора), которое автоматически становится новым Приложением № 2 к настоящему договору и отменяет предыдущее.</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5.4. При непоступлении оплаты в течение месяца с даты, установленной п. 5.2. "Исполнитель" имеет право в одностороннем порядке временно приостановить выполнение своих обязательств по настоящему договору уведомив об этом "Заказчика" по телефону, при помощи факсимильной связи или письменно. Возобновление договорных отношений возможно только после полного погашения задолженности.</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 Форс-мажорные обстоятельства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 но не более чем на 2 месяца, по истечении которых договор прекращает свое действие.</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 Срок действия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7.1. Настоящий договор заключается сроком на один год и вступает в силу с "___" ___________20_____ г.</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7.2. Если за 1 месяц до окончания срока действия договора ни одна из сторон письменно не заявит о его прекращении, то он  пролонгируется на тех же условиях и на тот же срок неограниченное количество раз.</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7.3. Стороны имеют право в одностороннем порядке отказаться от исполнения договора, уведомив об этом другую сторону не менее, чем за 10 дней до даты расторжения.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7.4. В случае нарушения Заказчиком условий Договора в части оплаты услуг, спор подлежит передаче на рассмотрение в Арбитражный суд Мурманской области по истечении 15 (пятнадцати) календарных дней со дня направления претензии Заказчику Исполнителем.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Иные споры и разногласия, возникающие между сторонами при исполнении настоящего Договора подлежат передаче в Арбитражный суд Мурманской области в порядке и сроки, предусмотренные законодательством Российской Федерации. </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7.5. Настоящий договор составлен в двух экземплярах, по одному для каждой стороны, каждый из которых имеет одинаковую юридическую силу.</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 Дополнительные условия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8.1. "Исполнитель" вправе временно приостановить предоставление услуг по настоящему договору в случае нарушения "Заказчиком" п. 3.2.5., 3.2.8.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8.2. "Заказчик" письменно сообщает "Исполнителю" не менее чем за 10 дней о проведении мероприятий, вследствие которых может потребоваться изменение пароля, списка доверенных лиц, режима работы КТС.</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8.3. Перерасчеты за прошедший период не производятся и претензии по этому основанию "Исполнителем" не принимаются, за исключением случаев, когда объект не состоял под охраной более суток по техническим причинам (отключение электропитания или отсутствие средств связи на объекте).</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8.4. В случае реорганизации, изменения юридического адреса, почтовых или банковских реквизитов или наименования, стороны своевременно информируют друг друга в письменном виде, но не позднее 10 дней с момента изменения.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8.5. Утрата Заказчиком права собственности, иного вещного права на объект охраны влечет прекращение обязательств по настоящему Договору со стороны "Исполнителя". Наличие имущественного спора в отношении объекта охраны является основанием для временного приостановления "Исполнителем" принятых на себя обязательств по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Приложения к настоящему договору, являющиеся его неотъемлемой частью:</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Перечень объектов (Приложение № 1)</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Справка-расчет (Приложение № 2)</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9. Реквизиты и подписи сторон</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tbl>
      <w:tblPr>
        <w:tblStyle w:val="ab"/>
        <w:tblW w:w="9854" w:type="dxa"/>
        <w:jc w:val="left"/>
        <w:tblInd w:w="0" w:type="dxa"/>
        <w:tblCellMar>
          <w:top w:w="0" w:type="dxa"/>
          <w:left w:w="108" w:type="dxa"/>
          <w:bottom w:w="0" w:type="dxa"/>
          <w:right w:w="108" w:type="dxa"/>
        </w:tblCellMar>
        <w:tblLook w:val="04a0" w:noHBand="0" w:noVBand="1" w:firstColumn="1" w:lastRow="0" w:lastColumn="0" w:firstRow="1"/>
      </w:tblPr>
      <w:tblGrid>
        <w:gridCol w:w="4927"/>
        <w:gridCol w:w="4926"/>
      </w:tblGrid>
      <w:tr>
        <w:trPr/>
        <w:tc>
          <w:tcPr>
            <w:tcW w:w="4927" w:type="dxa"/>
            <w:tcBorders>
              <w:top w:val="nil"/>
              <w:left w:val="nil"/>
              <w:bottom w:val="nil"/>
              <w:right w:val="nil"/>
            </w:tcBorders>
          </w:tcPr>
          <w:p>
            <w:pPr>
              <w:pStyle w:val="ConsNormal"/>
              <w:widowControl/>
              <w:ind w:firstLine="708"/>
              <w:rPr>
                <w:rFonts w:ascii="Times New Roman" w:hAnsi="Times New Roman" w:cs="Times New Roman"/>
                <w:sz w:val="28"/>
                <w:szCs w:val="28"/>
              </w:rPr>
            </w:pPr>
            <w:r>
              <w:rPr>
                <w:rFonts w:cs="Times New Roman" w:ascii="Times New Roman" w:hAnsi="Times New Roman"/>
                <w:sz w:val="28"/>
                <w:szCs w:val="28"/>
              </w:rPr>
              <w:t>"Исполнитель"</w:t>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r>
          </w:p>
        </w:tc>
        <w:tc>
          <w:tcPr>
            <w:tcW w:w="4926" w:type="dxa"/>
            <w:tcBorders>
              <w:top w:val="nil"/>
              <w:left w:val="nil"/>
              <w:bottom w:val="nil"/>
              <w:right w:val="nil"/>
            </w:tcBorders>
          </w:tcPr>
          <w:p>
            <w:pPr>
              <w:pStyle w:val="ConsNormal"/>
              <w:widowControl/>
              <w:ind w:firstLine="708"/>
              <w:rPr>
                <w:rFonts w:ascii="Times New Roman" w:hAnsi="Times New Roman" w:cs="Times New Roman"/>
                <w:sz w:val="28"/>
                <w:szCs w:val="28"/>
              </w:rPr>
            </w:pPr>
            <w:r>
              <w:rPr>
                <w:rFonts w:cs="Times New Roman" w:ascii="Times New Roman" w:hAnsi="Times New Roman"/>
                <w:sz w:val="28"/>
                <w:szCs w:val="28"/>
              </w:rPr>
              <w:t>"Заказчик"</w:t>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r>
          </w:p>
        </w:tc>
      </w:tr>
    </w:tbl>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r>
    </w:p>
    <w:p>
      <w:pPr>
        <w:pStyle w:val="ConsNonformat"/>
        <w:widowControl/>
        <w:rPr>
          <w:rFonts w:ascii="Times New Roman" w:hAnsi="Times New Roman" w:cs="Times New Roman"/>
          <w:sz w:val="28"/>
          <w:szCs w:val="28"/>
        </w:rPr>
      </w:pPr>
      <w:r>
        <w:rPr/>
      </w:r>
    </w:p>
    <w:sectPr>
      <w:headerReference w:type="default" r:id="rId2"/>
      <w:footnotePr>
        <w:numFmt w:val="decimal"/>
        <w:numRestart w:val="eachPage"/>
      </w:footnotePr>
      <w:type w:val="nextPage"/>
      <w:pgSz w:w="11906" w:h="16838"/>
      <w:pgMar w:left="1701" w:right="567" w:header="708" w:top="1134" w:footer="0" w:bottom="1134"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Tahoma">
    <w:charset w:val="01"/>
    <w:family w:val="swiss"/>
    <w:pitch w:val="default"/>
  </w:font>
  <w:font w:name="PT Astra Serif">
    <w:charset w:val="01"/>
    <w:family w:val="swiss"/>
    <w:pitch w:val="default"/>
  </w:font>
  <w:font w:name="Arial">
    <w:charset w:val="01"/>
    <w:family w:val="swiss"/>
    <w:pitch w:val="default"/>
  </w:font>
  <w:font w:name="Courier New">
    <w:charset w:val="01"/>
    <w:family w:val="swiss"/>
    <w:pitch w:val="default"/>
  </w:font>
  <w:font w:name="Times New Roman">
    <w:charset w:val="01"/>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30"/>
        <w:jc w:val="both"/>
        <w:rPr/>
      </w:pPr>
      <w:r>
        <w:rPr>
          <w:rStyle w:val="Style19"/>
        </w:rPr>
        <w:footnoteRef/>
      </w:r>
      <w:r>
        <w:rPr/>
        <w:t xml:space="preserve"> </w:t>
      </w:r>
      <w:r>
        <w:rPr/>
        <w:t>Под обслуживающей организацией понимается организация, имеющая право на проведение работ по монтажу, техническому обслуживанию и ремонту ТСО, установленных на объектах, переданных под охрану подразделениям вневедомственной охраны Мурманской области, в соответствии с законодательными и иными нормативными правовыми актами Российской Федерации.</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57991071"/>
    </w:sdtPr>
    <w:sdtContent>
      <w:p>
        <w:pPr>
          <w:pStyle w:val="Style28"/>
          <w:jc w:val="center"/>
          <w:rPr/>
        </w:pPr>
        <w:r>
          <w:rPr/>
          <w:fldChar w:fldCharType="begin"/>
        </w:r>
        <w:r>
          <w:rPr/>
          <w:instrText> PAGE </w:instrText>
        </w:r>
        <w:r>
          <w:rPr/>
          <w:fldChar w:fldCharType="separate"/>
        </w:r>
        <w:r>
          <w:rPr/>
          <w:t>7</w:t>
        </w:r>
        <w:r>
          <w:rPr/>
          <w:fldChar w:fldCharType="end"/>
        </w:r>
      </w:p>
    </w:sdtContent>
  </w:sdt>
  <w:p>
    <w:pPr>
      <w:pStyle w:val="Style28"/>
      <w:rPr/>
    </w:pPr>
    <w:r>
      <w:rPr/>
    </w:r>
  </w:p>
</w:hdr>
</file>

<file path=word/settings.xml><?xml version="1.0" encoding="utf-8"?>
<w:settings xmlns:w="http://schemas.openxmlformats.org/wordprocessingml/2006/main">
  <w:zoom w:percent="100"/>
  <w:defaultTabStop w:val="708"/>
  <w:autoHyphenation w:val="true"/>
  <w:footnotePr>
    <w:numFmt w:val="decimal"/>
    <w:numRestart w:val="eachPage"/>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Block Text"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972e6"/>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ru-RU" w:eastAsia="ru-RU"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3"/>
    <w:uiPriority w:val="99"/>
    <w:qFormat/>
    <w:rsid w:val="004925e0"/>
    <w:rPr>
      <w:rFonts w:ascii="Times New Roman" w:hAnsi="Times New Roman" w:eastAsia="Times New Roman" w:cs="Times New Roman"/>
      <w:sz w:val="24"/>
      <w:szCs w:val="24"/>
      <w:lang w:eastAsia="ru-RU"/>
    </w:rPr>
  </w:style>
  <w:style w:type="character" w:styleId="Style15" w:customStyle="1">
    <w:name w:val="Нижний колонтитул Знак"/>
    <w:basedOn w:val="DefaultParagraphFont"/>
    <w:link w:val="a5"/>
    <w:uiPriority w:val="99"/>
    <w:semiHidden/>
    <w:qFormat/>
    <w:rsid w:val="004925e0"/>
    <w:rPr>
      <w:rFonts w:ascii="Times New Roman" w:hAnsi="Times New Roman" w:eastAsia="Times New Roman" w:cs="Times New Roman"/>
      <w:sz w:val="24"/>
      <w:szCs w:val="24"/>
      <w:lang w:eastAsia="ru-RU"/>
    </w:rPr>
  </w:style>
  <w:style w:type="character" w:styleId="Style16" w:customStyle="1">
    <w:name w:val="Текст сноски Знак"/>
    <w:basedOn w:val="DefaultParagraphFont"/>
    <w:link w:val="a8"/>
    <w:uiPriority w:val="99"/>
    <w:semiHidden/>
    <w:qFormat/>
    <w:rsid w:val="00be5b09"/>
    <w:rPr>
      <w:rFonts w:ascii="Times New Roman" w:hAnsi="Times New Roman" w:eastAsia="Times New Roman" w:cs="Times New Roman"/>
      <w:sz w:val="20"/>
      <w:szCs w:val="20"/>
      <w:lang w:eastAsia="ru-RU"/>
    </w:rPr>
  </w:style>
  <w:style w:type="character" w:styleId="Style17">
    <w:name w:val="Привязка сноски"/>
    <w:rPr>
      <w:vertAlign w:val="superscript"/>
    </w:rPr>
  </w:style>
  <w:style w:type="character" w:styleId="FootnoteCharacters">
    <w:name w:val="Footnote Characters"/>
    <w:basedOn w:val="DefaultParagraphFont"/>
    <w:uiPriority w:val="99"/>
    <w:semiHidden/>
    <w:unhideWhenUsed/>
    <w:qFormat/>
    <w:rsid w:val="00be5b09"/>
    <w:rPr>
      <w:vertAlign w:val="superscript"/>
    </w:rPr>
  </w:style>
  <w:style w:type="character" w:styleId="Style18" w:customStyle="1">
    <w:name w:val="Текст выноски Знак"/>
    <w:basedOn w:val="DefaultParagraphFont"/>
    <w:link w:val="ac"/>
    <w:uiPriority w:val="99"/>
    <w:semiHidden/>
    <w:qFormat/>
    <w:rsid w:val="00fd4d58"/>
    <w:rPr>
      <w:rFonts w:ascii="Tahoma" w:hAnsi="Tahoma" w:eastAsia="Times New Roman" w:cs="Tahoma"/>
      <w:sz w:val="16"/>
      <w:szCs w:val="16"/>
      <w:lang w:eastAsia="ru-RU"/>
    </w:rPr>
  </w:style>
  <w:style w:type="character" w:styleId="Style19">
    <w:name w:val="Символ сноски"/>
    <w:qFormat/>
    <w:rPr/>
  </w:style>
  <w:style w:type="character" w:styleId="Style20">
    <w:name w:val="Привязка концевой сноски"/>
    <w:rPr>
      <w:vertAlign w:val="superscript"/>
    </w:rPr>
  </w:style>
  <w:style w:type="character" w:styleId="Style21">
    <w:name w:val="Символ концевой сноски"/>
    <w:qFormat/>
    <w:rPr/>
  </w:style>
  <w:style w:type="paragraph" w:styleId="Style22">
    <w:name w:val="Заголовок"/>
    <w:basedOn w:val="Normal"/>
    <w:next w:val="Style23"/>
    <w:qFormat/>
    <w:pPr>
      <w:keepNext w:val="true"/>
      <w:spacing w:before="240" w:after="120"/>
    </w:pPr>
    <w:rPr>
      <w:rFonts w:ascii="PT Astra Serif" w:hAnsi="PT Astra Serif" w:eastAsia="Tahoma" w:cs="Noto Sans Devanagari"/>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ascii="PT Astra Serif" w:hAnsi="PT Astra Serif" w:cs="Noto Sans Devanagari"/>
    </w:rPr>
  </w:style>
  <w:style w:type="paragraph" w:styleId="Style25">
    <w:name w:val="Caption"/>
    <w:basedOn w:val="Normal"/>
    <w:qFormat/>
    <w:pPr>
      <w:suppressLineNumbers/>
      <w:spacing w:before="120" w:after="120"/>
    </w:pPr>
    <w:rPr>
      <w:rFonts w:ascii="PT Astra Serif" w:hAnsi="PT Astra Serif" w:cs="Noto Sans Devanagari"/>
      <w:i/>
      <w:iCs/>
      <w:sz w:val="24"/>
      <w:szCs w:val="24"/>
    </w:rPr>
  </w:style>
  <w:style w:type="paragraph" w:styleId="Style26">
    <w:name w:val="Указатель"/>
    <w:basedOn w:val="Normal"/>
    <w:qFormat/>
    <w:pPr>
      <w:suppressLineNumbers/>
    </w:pPr>
    <w:rPr>
      <w:rFonts w:ascii="PT Astra Serif" w:hAnsi="PT Astra Serif" w:cs="Noto Sans Devanagari"/>
    </w:rPr>
  </w:style>
  <w:style w:type="paragraph" w:styleId="ConsNormal" w:customStyle="1">
    <w:name w:val="ConsNormal"/>
    <w:qFormat/>
    <w:rsid w:val="00527c0e"/>
    <w:pPr>
      <w:widowControl w:val="false"/>
      <w:suppressAutoHyphens w:val="true"/>
      <w:bidi w:val="0"/>
      <w:spacing w:lineRule="auto" w:line="240" w:before="0" w:after="0"/>
      <w:ind w:firstLine="720"/>
      <w:jc w:val="left"/>
    </w:pPr>
    <w:rPr>
      <w:rFonts w:ascii="Arial" w:hAnsi="Arial" w:eastAsia="" w:cs="Arial" w:eastAsiaTheme="minorEastAsia"/>
      <w:color w:val="auto"/>
      <w:kern w:val="0"/>
      <w:sz w:val="20"/>
      <w:szCs w:val="20"/>
      <w:lang w:val="ru-RU" w:eastAsia="ru-RU" w:bidi="ar-SA"/>
    </w:rPr>
  </w:style>
  <w:style w:type="paragraph" w:styleId="ConsNonformat" w:customStyle="1">
    <w:name w:val="ConsNonformat"/>
    <w:uiPriority w:val="99"/>
    <w:qFormat/>
    <w:rsid w:val="00527c0e"/>
    <w:pPr>
      <w:widowControl w:val="false"/>
      <w:suppressAutoHyphens w:val="true"/>
      <w:bidi w:val="0"/>
      <w:spacing w:lineRule="auto" w:line="240" w:before="0" w:after="0"/>
      <w:jc w:val="left"/>
    </w:pPr>
    <w:rPr>
      <w:rFonts w:ascii="Courier New" w:hAnsi="Courier New" w:eastAsia="" w:cs="Courier New" w:eastAsiaTheme="minorEastAsia"/>
      <w:color w:val="auto"/>
      <w:kern w:val="0"/>
      <w:sz w:val="20"/>
      <w:szCs w:val="20"/>
      <w:lang w:val="ru-RU" w:eastAsia="ru-RU" w:bidi="ar-SA"/>
    </w:rPr>
  </w:style>
  <w:style w:type="paragraph" w:styleId="ConsTitle" w:customStyle="1">
    <w:name w:val="ConsTitle"/>
    <w:uiPriority w:val="99"/>
    <w:qFormat/>
    <w:rsid w:val="00527c0e"/>
    <w:pPr>
      <w:widowControl w:val="false"/>
      <w:suppressAutoHyphens w:val="true"/>
      <w:bidi w:val="0"/>
      <w:spacing w:lineRule="auto" w:line="240" w:before="0" w:after="0"/>
      <w:jc w:val="left"/>
    </w:pPr>
    <w:rPr>
      <w:rFonts w:ascii="Arial" w:hAnsi="Arial" w:eastAsia="" w:cs="Arial" w:eastAsiaTheme="minorEastAsia"/>
      <w:b/>
      <w:bCs/>
      <w:color w:val="auto"/>
      <w:kern w:val="0"/>
      <w:sz w:val="16"/>
      <w:szCs w:val="16"/>
      <w:lang w:val="ru-RU" w:eastAsia="ru-RU" w:bidi="ar-SA"/>
    </w:rPr>
  </w:style>
  <w:style w:type="paragraph" w:styleId="Style27">
    <w:name w:val="Верхний и нижний колонтитулы"/>
    <w:basedOn w:val="Normal"/>
    <w:qFormat/>
    <w:pPr/>
    <w:rPr/>
  </w:style>
  <w:style w:type="paragraph" w:styleId="Style28">
    <w:name w:val="Header"/>
    <w:basedOn w:val="Normal"/>
    <w:link w:val="a4"/>
    <w:uiPriority w:val="99"/>
    <w:unhideWhenUsed/>
    <w:rsid w:val="004925e0"/>
    <w:pPr>
      <w:tabs>
        <w:tab w:val="clear" w:pos="708"/>
        <w:tab w:val="center" w:pos="4677" w:leader="none"/>
        <w:tab w:val="right" w:pos="9355" w:leader="none"/>
      </w:tabs>
    </w:pPr>
    <w:rPr/>
  </w:style>
  <w:style w:type="paragraph" w:styleId="Style29">
    <w:name w:val="Footer"/>
    <w:basedOn w:val="Normal"/>
    <w:link w:val="a6"/>
    <w:uiPriority w:val="99"/>
    <w:semiHidden/>
    <w:unhideWhenUsed/>
    <w:rsid w:val="004925e0"/>
    <w:pPr>
      <w:tabs>
        <w:tab w:val="clear" w:pos="708"/>
        <w:tab w:val="center" w:pos="4677" w:leader="none"/>
        <w:tab w:val="right" w:pos="9355" w:leader="none"/>
      </w:tabs>
    </w:pPr>
    <w:rPr/>
  </w:style>
  <w:style w:type="paragraph" w:styleId="BlockText">
    <w:name w:val="Block Text"/>
    <w:basedOn w:val="Normal"/>
    <w:qFormat/>
    <w:rsid w:val="00e23a24"/>
    <w:pPr>
      <w:widowControl w:val="false"/>
      <w:shd w:val="clear" w:color="auto" w:fill="FFFFFF"/>
      <w:spacing w:lineRule="exact" w:line="398" w:before="0" w:after="878"/>
      <w:ind w:left="1008" w:right="499" w:firstLine="883"/>
    </w:pPr>
    <w:rPr>
      <w:b/>
      <w:bCs/>
      <w:color w:val="000000"/>
      <w:spacing w:val="-17"/>
      <w:sz w:val="27"/>
      <w:szCs w:val="27"/>
    </w:rPr>
  </w:style>
  <w:style w:type="paragraph" w:styleId="Style30">
    <w:name w:val="Footnote Text"/>
    <w:basedOn w:val="Normal"/>
    <w:link w:val="a9"/>
    <w:uiPriority w:val="99"/>
    <w:semiHidden/>
    <w:unhideWhenUsed/>
    <w:rsid w:val="00be5b09"/>
    <w:pPr/>
    <w:rPr>
      <w:sz w:val="20"/>
      <w:szCs w:val="20"/>
    </w:rPr>
  </w:style>
  <w:style w:type="paragraph" w:styleId="1" w:customStyle="1">
    <w:name w:val="Обычный1"/>
    <w:qFormat/>
    <w:rsid w:val="00671f8a"/>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ConsPlusNormal" w:customStyle="1">
    <w:name w:val="ConsPlusNormal"/>
    <w:qFormat/>
    <w:rsid w:val="0040490f"/>
    <w:pPr>
      <w:widowControl/>
      <w:suppressAutoHyphens w:val="true"/>
      <w:bidi w:val="0"/>
      <w:spacing w:lineRule="auto" w:line="240" w:before="0" w:after="0"/>
      <w:jc w:val="left"/>
    </w:pPr>
    <w:rPr>
      <w:rFonts w:ascii="Times New Roman" w:hAnsi="Times New Roman" w:eastAsia="Calibri" w:cs="Times New Roman" w:eastAsiaTheme="minorHAnsi"/>
      <w:color w:val="auto"/>
      <w:kern w:val="0"/>
      <w:sz w:val="28"/>
      <w:szCs w:val="28"/>
      <w:lang w:val="ru-RU" w:eastAsia="en-US" w:bidi="ar-SA"/>
    </w:rPr>
  </w:style>
  <w:style w:type="paragraph" w:styleId="BalloonText">
    <w:name w:val="Balloon Text"/>
    <w:basedOn w:val="Normal"/>
    <w:link w:val="ad"/>
    <w:uiPriority w:val="99"/>
    <w:semiHidden/>
    <w:unhideWhenUsed/>
    <w:qFormat/>
    <w:rsid w:val="00fd4d58"/>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b">
    <w:name w:val="Table Grid"/>
    <w:basedOn w:val="a1"/>
    <w:uiPriority w:val="59"/>
    <w:rsid w:val="001169f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57315-69F1-44AA-821F-688BCFFC9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Application>LibreOffice/6.4.7.2$Linux_X86_64 LibreOffice_project/40$Build-2</Application>
  <Pages>7</Pages>
  <Words>1917</Words>
  <Characters>13741</Characters>
  <CharactersWithSpaces>15652</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2016-12-09T06:44:00Z</dcterms:created>
  <dc:creator>СмирновВВ</dc:creator>
  <dc:description/>
  <dc:language>ru-RU</dc:language>
  <cp:lastModifiedBy/>
  <cp:lastPrinted>2016-12-14T07:00:00Z</cp:lastPrinted>
  <dcterms:modified xsi:type="dcterms:W3CDTF">2025-06-17T12:52:19Z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